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43144">
      <w:pPr>
        <w:jc w:val="left"/>
        <w:rPr>
          <w:rFonts w:ascii="黑体" w:hAnsi="黑体" w:eastAsia="黑体" w:cs="黑体"/>
          <w:sz w:val="32"/>
          <w:szCs w:val="40"/>
        </w:rPr>
      </w:pPr>
      <w:r>
        <w:rPr>
          <w:rFonts w:hint="eastAsia" w:ascii="黑体" w:hAnsi="黑体" w:eastAsia="黑体" w:cs="黑体"/>
          <w:sz w:val="32"/>
          <w:szCs w:val="40"/>
        </w:rPr>
        <w:t>附件2</w:t>
      </w:r>
    </w:p>
    <w:p w14:paraId="656D7D6E">
      <w:pPr>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能源学院2025年春季学期科研记录自查方案</w:t>
      </w:r>
    </w:p>
    <w:p w14:paraId="5AC03C50">
      <w:pPr>
        <w:ind w:firstLine="420"/>
        <w:rPr>
          <w:rFonts w:hint="eastAsia" w:ascii="仿宋" w:hAnsi="仿宋" w:eastAsia="仿宋" w:cs="仿宋"/>
          <w:sz w:val="28"/>
          <w:szCs w:val="36"/>
        </w:rPr>
      </w:pPr>
      <w:r>
        <w:rPr>
          <w:rFonts w:hint="eastAsia" w:ascii="仿宋" w:hAnsi="仿宋" w:eastAsia="仿宋" w:cs="仿宋"/>
          <w:sz w:val="28"/>
          <w:szCs w:val="36"/>
        </w:rPr>
        <w:t>为进一步落实《苏州大学研究生学位论文开题管理办法》（苏大研[2018]65号）、《苏州大学研究生中期考核管理办法》（苏大研[2018]66号）、《苏州大学研究生科研记录规范暂行管理办法》（苏大研[2018]67号）等文件要求，切实加强研究生培养过程的监督工作，提高研究生培养质量，特制定本单位科研记录自查方案。</w:t>
      </w:r>
    </w:p>
    <w:p w14:paraId="486C9DCB">
      <w:pPr>
        <w:pStyle w:val="6"/>
        <w:numPr>
          <w:ilvl w:val="0"/>
          <w:numId w:val="1"/>
        </w:numPr>
        <w:ind w:firstLineChars="0"/>
        <w:rPr>
          <w:rFonts w:ascii="黑体" w:hAnsi="黑体" w:eastAsia="黑体"/>
          <w:sz w:val="28"/>
          <w:szCs w:val="28"/>
        </w:rPr>
      </w:pPr>
      <w:r>
        <w:rPr>
          <w:rFonts w:hint="eastAsia" w:ascii="黑体" w:hAnsi="黑体" w:eastAsia="黑体"/>
          <w:sz w:val="28"/>
          <w:szCs w:val="28"/>
        </w:rPr>
        <w:t>科研记录自查范围</w:t>
      </w:r>
    </w:p>
    <w:p w14:paraId="4394CE52">
      <w:pPr>
        <w:pStyle w:val="6"/>
        <w:ind w:firstLine="565" w:firstLineChars="202"/>
        <w:rPr>
          <w:rFonts w:ascii="仿宋" w:hAnsi="仿宋" w:eastAsia="仿宋"/>
          <w:sz w:val="28"/>
          <w:szCs w:val="28"/>
          <w:shd w:val="clear" w:color="auto" w:fill="FFFFFF"/>
        </w:rPr>
      </w:pPr>
      <w:r>
        <w:rPr>
          <w:rFonts w:hint="eastAsia" w:ascii="仿宋" w:hAnsi="仿宋" w:eastAsia="仿宋"/>
          <w:sz w:val="28"/>
          <w:szCs w:val="28"/>
          <w:shd w:val="clear" w:color="auto" w:fill="FFFFFF"/>
        </w:rPr>
        <w:t>根据学校规定：科研记录自查范围为，所有已开题暂未申请学位授予的在校硕士生和博士生，重点检查超基本学制两年的博士生科研进展情况。</w:t>
      </w:r>
    </w:p>
    <w:p w14:paraId="43E11FB4">
      <w:pPr>
        <w:pStyle w:val="6"/>
        <w:ind w:firstLine="565" w:firstLineChars="202"/>
        <w:rPr>
          <w:rFonts w:ascii="仿宋" w:hAnsi="仿宋" w:eastAsia="仿宋" w:cs="仿宋"/>
          <w:color w:val="FF0000"/>
          <w:sz w:val="28"/>
          <w:szCs w:val="28"/>
        </w:rPr>
      </w:pPr>
      <w:r>
        <w:rPr>
          <w:rFonts w:hint="eastAsia" w:ascii="仿宋" w:hAnsi="仿宋" w:eastAsia="仿宋"/>
          <w:color w:val="FF0000"/>
          <w:sz w:val="28"/>
          <w:szCs w:val="28"/>
          <w:shd w:val="clear" w:color="auto" w:fill="FFFFFF"/>
        </w:rPr>
        <w:t>我院本次的科研记录自查的研究生包括：</w:t>
      </w:r>
      <w:r>
        <w:rPr>
          <w:rFonts w:ascii="仿宋" w:hAnsi="仿宋" w:eastAsia="仿宋"/>
          <w:color w:val="FF0000"/>
          <w:sz w:val="28"/>
          <w:szCs w:val="28"/>
          <w:shd w:val="clear" w:color="auto" w:fill="FFFFFF"/>
        </w:rPr>
        <w:t>202</w:t>
      </w:r>
      <w:r>
        <w:rPr>
          <w:rFonts w:hint="eastAsia" w:ascii="仿宋" w:hAnsi="仿宋" w:eastAsia="仿宋"/>
          <w:color w:val="FF0000"/>
          <w:sz w:val="28"/>
          <w:szCs w:val="28"/>
          <w:shd w:val="clear" w:color="auto" w:fill="FFFFFF"/>
          <w:lang w:val="en-US" w:eastAsia="zh-CN"/>
        </w:rPr>
        <w:t>2</w:t>
      </w:r>
      <w:r>
        <w:rPr>
          <w:rFonts w:hint="eastAsia" w:ascii="仿宋" w:hAnsi="仿宋" w:eastAsia="仿宋"/>
          <w:color w:val="FF0000"/>
          <w:sz w:val="28"/>
          <w:szCs w:val="28"/>
          <w:shd w:val="clear" w:color="auto" w:fill="FFFFFF"/>
        </w:rPr>
        <w:t>级博士生硕士生、</w:t>
      </w:r>
      <w:r>
        <w:rPr>
          <w:rFonts w:ascii="仿宋" w:hAnsi="仿宋" w:eastAsia="仿宋"/>
          <w:color w:val="FF0000"/>
          <w:sz w:val="28"/>
          <w:szCs w:val="28"/>
          <w:shd w:val="clear" w:color="auto" w:fill="FFFFFF"/>
        </w:rPr>
        <w:t>202</w:t>
      </w:r>
      <w:r>
        <w:rPr>
          <w:rFonts w:hint="eastAsia" w:ascii="仿宋" w:hAnsi="仿宋" w:eastAsia="仿宋"/>
          <w:color w:val="FF0000"/>
          <w:sz w:val="28"/>
          <w:szCs w:val="28"/>
          <w:shd w:val="clear" w:color="auto" w:fill="FFFFFF"/>
          <w:lang w:val="en-US" w:eastAsia="zh-CN"/>
        </w:rPr>
        <w:t>3</w:t>
      </w:r>
      <w:r>
        <w:rPr>
          <w:rFonts w:hint="eastAsia" w:ascii="仿宋" w:hAnsi="仿宋" w:eastAsia="仿宋"/>
          <w:color w:val="FF0000"/>
          <w:sz w:val="28"/>
          <w:szCs w:val="28"/>
          <w:shd w:val="clear" w:color="auto" w:fill="FFFFFF"/>
        </w:rPr>
        <w:t>级博士生硕士生，以及超过基本学制延期毕业的博士生硕士生。</w:t>
      </w:r>
    </w:p>
    <w:p w14:paraId="6E3B4052">
      <w:pPr>
        <w:numPr>
          <w:ilvl w:val="0"/>
          <w:numId w:val="1"/>
        </w:numPr>
        <w:ind w:firstLine="420"/>
        <w:rPr>
          <w:rFonts w:ascii="黑体" w:hAnsi="黑体" w:eastAsia="黑体" w:cs="黑体"/>
          <w:sz w:val="28"/>
          <w:szCs w:val="36"/>
        </w:rPr>
      </w:pPr>
      <w:r>
        <w:rPr>
          <w:rFonts w:hint="eastAsia" w:ascii="黑体" w:hAnsi="黑体" w:eastAsia="黑体" w:cs="黑体"/>
          <w:sz w:val="28"/>
          <w:szCs w:val="36"/>
        </w:rPr>
        <w:t>组织管理</w:t>
      </w:r>
    </w:p>
    <w:p w14:paraId="3CBFDDF4">
      <w:pPr>
        <w:ind w:firstLine="420"/>
        <w:rPr>
          <w:rFonts w:ascii="仿宋" w:hAnsi="仿宋" w:eastAsia="仿宋" w:cs="仿宋"/>
          <w:sz w:val="28"/>
          <w:szCs w:val="36"/>
        </w:rPr>
      </w:pPr>
      <w:r>
        <w:rPr>
          <w:rFonts w:hint="eastAsia" w:ascii="仿宋" w:hAnsi="仿宋" w:eastAsia="仿宋" w:cs="仿宋"/>
          <w:sz w:val="28"/>
          <w:szCs w:val="36"/>
        </w:rPr>
        <w:t>本单位根据学科专业的实际情况，在学位评定分委员会的指导下成立科研记录自查小组，制定科研记录自查方案，组织开展研究生科研记录的检查工作。自查工作结束后，本单位总结科研记录检查过程中的经验和不足，发掘工作亮点，对科研记录自查中存在的问题提出切实可行的解决措施，最终形成科研记录自查报告。</w:t>
      </w:r>
    </w:p>
    <w:p w14:paraId="177BDF61">
      <w:pPr>
        <w:spacing w:before="156" w:beforeLines="50" w:after="156" w:afterLines="50"/>
        <w:ind w:firstLine="420"/>
        <w:rPr>
          <w:rFonts w:ascii="仿宋" w:hAnsi="仿宋" w:eastAsia="仿宋" w:cs="仿宋"/>
          <w:sz w:val="28"/>
          <w:szCs w:val="36"/>
        </w:rPr>
      </w:pPr>
      <w:r>
        <w:rPr>
          <w:rFonts w:hint="eastAsia" w:ascii="仿宋" w:hAnsi="仿宋" w:eastAsia="仿宋" w:cs="仿宋"/>
          <w:sz w:val="28"/>
          <w:szCs w:val="36"/>
        </w:rPr>
        <w:t>研究生科研记录自查小组名单：</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310"/>
        <w:gridCol w:w="4569"/>
        <w:gridCol w:w="1668"/>
      </w:tblGrid>
      <w:tr w14:paraId="6950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vAlign w:val="center"/>
          </w:tcPr>
          <w:p w14:paraId="5BF010CF">
            <w:pPr>
              <w:jc w:val="center"/>
              <w:rPr>
                <w:rFonts w:ascii="仿宋" w:hAnsi="仿宋" w:eastAsia="仿宋" w:cs="仿宋"/>
                <w:sz w:val="28"/>
                <w:szCs w:val="36"/>
              </w:rPr>
            </w:pPr>
            <w:r>
              <w:rPr>
                <w:rFonts w:hint="eastAsia" w:ascii="仿宋" w:hAnsi="仿宋" w:eastAsia="仿宋" w:cs="仿宋"/>
                <w:sz w:val="28"/>
                <w:szCs w:val="36"/>
              </w:rPr>
              <w:t>分组</w:t>
            </w:r>
          </w:p>
        </w:tc>
        <w:tc>
          <w:tcPr>
            <w:tcW w:w="740" w:type="pct"/>
            <w:vAlign w:val="center"/>
          </w:tcPr>
          <w:p w14:paraId="2254B5C2">
            <w:pPr>
              <w:jc w:val="center"/>
              <w:rPr>
                <w:rFonts w:ascii="仿宋" w:hAnsi="仿宋" w:eastAsia="仿宋" w:cs="仿宋"/>
                <w:sz w:val="28"/>
                <w:szCs w:val="36"/>
              </w:rPr>
            </w:pPr>
            <w:r>
              <w:rPr>
                <w:rFonts w:hint="eastAsia" w:ascii="仿宋" w:hAnsi="仿宋" w:eastAsia="仿宋" w:cs="仿宋"/>
                <w:sz w:val="28"/>
                <w:szCs w:val="36"/>
              </w:rPr>
              <w:t>自查小组组长</w:t>
            </w:r>
          </w:p>
        </w:tc>
        <w:tc>
          <w:tcPr>
            <w:tcW w:w="2581" w:type="pct"/>
            <w:vAlign w:val="center"/>
          </w:tcPr>
          <w:p w14:paraId="74331B0D">
            <w:pPr>
              <w:jc w:val="center"/>
              <w:rPr>
                <w:rFonts w:ascii="仿宋" w:hAnsi="仿宋" w:eastAsia="仿宋" w:cs="仿宋"/>
                <w:sz w:val="28"/>
                <w:szCs w:val="36"/>
              </w:rPr>
            </w:pPr>
            <w:r>
              <w:rPr>
                <w:rFonts w:hint="eastAsia" w:ascii="仿宋" w:hAnsi="仿宋" w:eastAsia="仿宋" w:cs="仿宋"/>
                <w:sz w:val="28"/>
                <w:szCs w:val="36"/>
              </w:rPr>
              <w:t>自查小组成员</w:t>
            </w:r>
          </w:p>
        </w:tc>
        <w:tc>
          <w:tcPr>
            <w:tcW w:w="942" w:type="pct"/>
            <w:vAlign w:val="center"/>
          </w:tcPr>
          <w:p w14:paraId="138C7021">
            <w:pPr>
              <w:jc w:val="center"/>
              <w:rPr>
                <w:rFonts w:ascii="仿宋" w:hAnsi="仿宋" w:eastAsia="仿宋" w:cs="仿宋"/>
                <w:sz w:val="28"/>
                <w:szCs w:val="36"/>
              </w:rPr>
            </w:pPr>
            <w:r>
              <w:rPr>
                <w:rFonts w:hint="eastAsia" w:ascii="仿宋" w:hAnsi="仿宋" w:eastAsia="仿宋" w:cs="仿宋"/>
                <w:sz w:val="28"/>
                <w:szCs w:val="36"/>
              </w:rPr>
              <w:t>参与督查的院督导人员</w:t>
            </w:r>
          </w:p>
        </w:tc>
      </w:tr>
      <w:tr w14:paraId="657A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Pr>
          <w:p w14:paraId="52E7FDAB">
            <w:pPr>
              <w:rPr>
                <w:rFonts w:ascii="仿宋" w:hAnsi="仿宋" w:eastAsia="仿宋" w:cs="仿宋"/>
                <w:sz w:val="28"/>
                <w:szCs w:val="36"/>
              </w:rPr>
            </w:pPr>
            <w:r>
              <w:rPr>
                <w:rFonts w:hint="eastAsia" w:ascii="仿宋" w:hAnsi="仿宋" w:eastAsia="仿宋" w:cs="仿宋"/>
                <w:sz w:val="28"/>
                <w:szCs w:val="28"/>
              </w:rPr>
              <w:t>小组1</w:t>
            </w:r>
          </w:p>
        </w:tc>
        <w:tc>
          <w:tcPr>
            <w:tcW w:w="740" w:type="pct"/>
          </w:tcPr>
          <w:p w14:paraId="7381629C">
            <w:pPr>
              <w:rPr>
                <w:rFonts w:ascii="仿宋" w:hAnsi="仿宋" w:eastAsia="仿宋" w:cs="仿宋"/>
                <w:sz w:val="28"/>
                <w:szCs w:val="36"/>
              </w:rPr>
            </w:pPr>
            <w:r>
              <w:rPr>
                <w:rFonts w:hint="eastAsia" w:ascii="仿宋" w:hAnsi="仿宋" w:eastAsia="仿宋" w:cs="仿宋"/>
                <w:sz w:val="28"/>
                <w:szCs w:val="28"/>
              </w:rPr>
              <w:t>苏韧</w:t>
            </w:r>
          </w:p>
        </w:tc>
        <w:tc>
          <w:tcPr>
            <w:tcW w:w="2581" w:type="pct"/>
          </w:tcPr>
          <w:p w14:paraId="6FBBD344">
            <w:pPr>
              <w:rPr>
                <w:rFonts w:ascii="仿宋" w:hAnsi="仿宋" w:eastAsia="仿宋" w:cs="仿宋"/>
                <w:sz w:val="28"/>
                <w:szCs w:val="36"/>
              </w:rPr>
            </w:pPr>
            <w:r>
              <w:rPr>
                <w:rFonts w:hint="eastAsia" w:ascii="仿宋" w:hAnsi="仿宋" w:eastAsia="仿宋" w:cs="仿宋"/>
                <w:sz w:val="28"/>
                <w:szCs w:val="28"/>
              </w:rPr>
              <w:t>彭扬、邓昭、冯莱、娄艳辉</w:t>
            </w:r>
          </w:p>
        </w:tc>
        <w:tc>
          <w:tcPr>
            <w:tcW w:w="942" w:type="pct"/>
          </w:tcPr>
          <w:p w14:paraId="179E01B6">
            <w:pPr>
              <w:rPr>
                <w:rFonts w:ascii="仿宋" w:hAnsi="仿宋" w:eastAsia="仿宋" w:cs="仿宋"/>
                <w:sz w:val="28"/>
                <w:szCs w:val="36"/>
              </w:rPr>
            </w:pPr>
            <w:r>
              <w:rPr>
                <w:rFonts w:hint="eastAsia" w:ascii="仿宋" w:hAnsi="仿宋" w:eastAsia="仿宋" w:cs="仿宋"/>
                <w:sz w:val="28"/>
                <w:szCs w:val="28"/>
              </w:rPr>
              <w:t>苏韧</w:t>
            </w:r>
          </w:p>
        </w:tc>
      </w:tr>
      <w:tr w14:paraId="2C96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Pr>
          <w:p w14:paraId="2E740D77">
            <w:pPr>
              <w:rPr>
                <w:rFonts w:ascii="仿宋" w:hAnsi="仿宋" w:eastAsia="仿宋" w:cs="仿宋"/>
                <w:sz w:val="28"/>
                <w:szCs w:val="36"/>
              </w:rPr>
            </w:pPr>
            <w:r>
              <w:rPr>
                <w:rFonts w:hint="eastAsia" w:ascii="仿宋" w:hAnsi="仿宋" w:eastAsia="仿宋" w:cs="仿宋"/>
                <w:sz w:val="28"/>
                <w:szCs w:val="28"/>
              </w:rPr>
              <w:t>小组2</w:t>
            </w:r>
          </w:p>
        </w:tc>
        <w:tc>
          <w:tcPr>
            <w:tcW w:w="740" w:type="pct"/>
          </w:tcPr>
          <w:p w14:paraId="35355F14">
            <w:pPr>
              <w:rPr>
                <w:rFonts w:ascii="仿宋" w:hAnsi="仿宋" w:eastAsia="仿宋" w:cs="仿宋"/>
                <w:sz w:val="28"/>
                <w:szCs w:val="36"/>
              </w:rPr>
            </w:pPr>
            <w:r>
              <w:rPr>
                <w:rFonts w:hint="eastAsia" w:ascii="仿宋" w:hAnsi="仿宋" w:eastAsia="仿宋" w:cs="仿宋"/>
                <w:sz w:val="28"/>
                <w:szCs w:val="28"/>
              </w:rPr>
              <w:t>刘瑞远</w:t>
            </w:r>
          </w:p>
        </w:tc>
        <w:tc>
          <w:tcPr>
            <w:tcW w:w="2581" w:type="pct"/>
          </w:tcPr>
          <w:p w14:paraId="5B8D5BBB">
            <w:pPr>
              <w:rPr>
                <w:rFonts w:ascii="仿宋" w:hAnsi="仿宋" w:eastAsia="仿宋" w:cs="仿宋"/>
                <w:sz w:val="28"/>
                <w:szCs w:val="36"/>
              </w:rPr>
            </w:pPr>
            <w:r>
              <w:rPr>
                <w:rFonts w:hint="eastAsia" w:ascii="仿宋" w:hAnsi="仿宋" w:eastAsia="仿宋" w:cs="仿宋"/>
                <w:sz w:val="28"/>
                <w:szCs w:val="28"/>
              </w:rPr>
              <w:t>尹万健、Jinho Choi，该小组同时负责Mark Rummeli课题组科研记录的检查。</w:t>
            </w:r>
          </w:p>
        </w:tc>
        <w:tc>
          <w:tcPr>
            <w:tcW w:w="942" w:type="pct"/>
          </w:tcPr>
          <w:p w14:paraId="5904EA20">
            <w:pPr>
              <w:rPr>
                <w:rFonts w:ascii="仿宋" w:hAnsi="仿宋" w:eastAsia="仿宋" w:cs="仿宋"/>
                <w:sz w:val="28"/>
                <w:szCs w:val="36"/>
              </w:rPr>
            </w:pPr>
            <w:r>
              <w:rPr>
                <w:rFonts w:hint="eastAsia" w:ascii="仿宋" w:hAnsi="仿宋" w:eastAsia="仿宋" w:cs="仿宋"/>
                <w:sz w:val="28"/>
                <w:szCs w:val="28"/>
              </w:rPr>
              <w:t>刘瑞远</w:t>
            </w:r>
          </w:p>
        </w:tc>
      </w:tr>
      <w:tr w14:paraId="604E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Pr>
          <w:p w14:paraId="47005F05">
            <w:pPr>
              <w:rPr>
                <w:rFonts w:ascii="仿宋" w:hAnsi="仿宋" w:eastAsia="仿宋" w:cs="仿宋"/>
                <w:sz w:val="28"/>
                <w:szCs w:val="36"/>
              </w:rPr>
            </w:pPr>
            <w:r>
              <w:rPr>
                <w:rFonts w:hint="eastAsia" w:ascii="仿宋" w:hAnsi="仿宋" w:eastAsia="仿宋" w:cs="仿宋"/>
                <w:sz w:val="28"/>
                <w:szCs w:val="28"/>
              </w:rPr>
              <w:t>小组3</w:t>
            </w:r>
          </w:p>
        </w:tc>
        <w:tc>
          <w:tcPr>
            <w:tcW w:w="740" w:type="pct"/>
          </w:tcPr>
          <w:p w14:paraId="744A104A">
            <w:pPr>
              <w:rPr>
                <w:rFonts w:ascii="仿宋" w:hAnsi="仿宋" w:eastAsia="仿宋" w:cs="仿宋"/>
                <w:sz w:val="28"/>
                <w:szCs w:val="36"/>
              </w:rPr>
            </w:pPr>
            <w:r>
              <w:rPr>
                <w:rFonts w:hint="eastAsia" w:ascii="仿宋" w:hAnsi="仿宋" w:eastAsia="仿宋" w:cs="仿宋"/>
                <w:sz w:val="28"/>
                <w:szCs w:val="28"/>
              </w:rPr>
              <w:t>惠静姝</w:t>
            </w:r>
          </w:p>
        </w:tc>
        <w:tc>
          <w:tcPr>
            <w:tcW w:w="2581" w:type="pct"/>
          </w:tcPr>
          <w:p w14:paraId="585FE00A">
            <w:pPr>
              <w:rPr>
                <w:rFonts w:ascii="仿宋" w:hAnsi="仿宋" w:eastAsia="仿宋" w:cs="仿宋"/>
                <w:sz w:val="28"/>
                <w:szCs w:val="36"/>
              </w:rPr>
            </w:pPr>
            <w:r>
              <w:rPr>
                <w:rFonts w:hint="eastAsia" w:ascii="仿宋" w:hAnsi="仿宋" w:eastAsia="仿宋" w:cs="仿宋"/>
                <w:sz w:val="28"/>
                <w:szCs w:val="28"/>
              </w:rPr>
              <w:t>孙靖宇、张金灿、耿凤霞、韩东麟</w:t>
            </w:r>
          </w:p>
        </w:tc>
        <w:tc>
          <w:tcPr>
            <w:tcW w:w="942" w:type="pct"/>
          </w:tcPr>
          <w:p w14:paraId="7122D4E5">
            <w:pPr>
              <w:rPr>
                <w:rFonts w:ascii="仿宋" w:hAnsi="仿宋" w:eastAsia="仿宋" w:cs="仿宋"/>
                <w:sz w:val="28"/>
                <w:szCs w:val="36"/>
              </w:rPr>
            </w:pPr>
            <w:r>
              <w:rPr>
                <w:rFonts w:hint="eastAsia" w:ascii="仿宋" w:hAnsi="仿宋" w:eastAsia="仿宋" w:cs="仿宋"/>
                <w:sz w:val="28"/>
                <w:szCs w:val="28"/>
              </w:rPr>
              <w:t>惠静姝</w:t>
            </w:r>
          </w:p>
        </w:tc>
      </w:tr>
      <w:tr w14:paraId="2F9D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Pr>
          <w:p w14:paraId="3D5A54C2">
            <w:pPr>
              <w:rPr>
                <w:rFonts w:ascii="仿宋" w:hAnsi="仿宋" w:eastAsia="仿宋" w:cs="仿宋"/>
                <w:sz w:val="28"/>
                <w:szCs w:val="36"/>
              </w:rPr>
            </w:pPr>
            <w:r>
              <w:rPr>
                <w:rFonts w:hint="eastAsia" w:ascii="仿宋" w:hAnsi="仿宋" w:eastAsia="仿宋" w:cs="仿宋"/>
                <w:sz w:val="28"/>
                <w:szCs w:val="28"/>
              </w:rPr>
              <w:t>小组4</w:t>
            </w:r>
          </w:p>
        </w:tc>
        <w:tc>
          <w:tcPr>
            <w:tcW w:w="740" w:type="pct"/>
          </w:tcPr>
          <w:p w14:paraId="4D727C4E">
            <w:pPr>
              <w:rPr>
                <w:rFonts w:ascii="仿宋" w:hAnsi="仿宋" w:eastAsia="仿宋" w:cs="仿宋"/>
                <w:sz w:val="28"/>
                <w:szCs w:val="36"/>
              </w:rPr>
            </w:pPr>
            <w:r>
              <w:rPr>
                <w:rFonts w:hint="eastAsia" w:ascii="仿宋" w:hAnsi="仿宋" w:eastAsia="仿宋" w:cs="仿宋"/>
                <w:sz w:val="28"/>
                <w:szCs w:val="28"/>
              </w:rPr>
              <w:t>刘江</w:t>
            </w:r>
          </w:p>
        </w:tc>
        <w:tc>
          <w:tcPr>
            <w:tcW w:w="2581" w:type="pct"/>
          </w:tcPr>
          <w:p w14:paraId="3C179068">
            <w:pPr>
              <w:rPr>
                <w:rFonts w:ascii="仿宋" w:hAnsi="仿宋" w:eastAsia="仿宋" w:cs="仿宋"/>
                <w:sz w:val="28"/>
                <w:szCs w:val="36"/>
              </w:rPr>
            </w:pPr>
            <w:r>
              <w:rPr>
                <w:rFonts w:hint="eastAsia" w:ascii="仿宋" w:hAnsi="仿宋" w:eastAsia="仿宋" w:cs="仿宋"/>
                <w:sz w:val="28"/>
                <w:szCs w:val="28"/>
              </w:rPr>
              <w:t>邹贵付、杨新波、赵杰</w:t>
            </w:r>
          </w:p>
        </w:tc>
        <w:tc>
          <w:tcPr>
            <w:tcW w:w="942" w:type="pct"/>
          </w:tcPr>
          <w:p w14:paraId="6F0BB7FA">
            <w:pPr>
              <w:rPr>
                <w:rFonts w:ascii="仿宋" w:hAnsi="仿宋" w:eastAsia="仿宋" w:cs="仿宋"/>
                <w:sz w:val="28"/>
                <w:szCs w:val="36"/>
              </w:rPr>
            </w:pPr>
            <w:r>
              <w:rPr>
                <w:rFonts w:hint="eastAsia" w:ascii="仿宋" w:hAnsi="仿宋" w:eastAsia="仿宋" w:cs="仿宋"/>
                <w:sz w:val="28"/>
                <w:szCs w:val="28"/>
              </w:rPr>
              <w:t>刘江</w:t>
            </w:r>
          </w:p>
        </w:tc>
      </w:tr>
      <w:tr w14:paraId="1183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Pr>
          <w:p w14:paraId="4A171268">
            <w:pPr>
              <w:rPr>
                <w:rFonts w:ascii="仿宋" w:hAnsi="仿宋" w:eastAsia="仿宋" w:cs="仿宋"/>
                <w:sz w:val="28"/>
                <w:szCs w:val="36"/>
              </w:rPr>
            </w:pPr>
            <w:r>
              <w:rPr>
                <w:rFonts w:hint="eastAsia" w:ascii="仿宋" w:hAnsi="仿宋" w:eastAsia="仿宋" w:cs="仿宋"/>
                <w:sz w:val="28"/>
                <w:szCs w:val="28"/>
              </w:rPr>
              <w:t>小组5</w:t>
            </w:r>
          </w:p>
        </w:tc>
        <w:tc>
          <w:tcPr>
            <w:tcW w:w="740" w:type="pct"/>
          </w:tcPr>
          <w:p w14:paraId="4A82268F">
            <w:pPr>
              <w:rPr>
                <w:rFonts w:ascii="仿宋" w:hAnsi="仿宋" w:eastAsia="仿宋" w:cs="仿宋"/>
                <w:sz w:val="28"/>
                <w:szCs w:val="36"/>
              </w:rPr>
            </w:pPr>
            <w:r>
              <w:rPr>
                <w:rFonts w:hint="eastAsia" w:ascii="仿宋" w:hAnsi="仿宋" w:eastAsia="仿宋" w:cs="仿宋"/>
                <w:sz w:val="28"/>
                <w:szCs w:val="28"/>
              </w:rPr>
              <w:t>邹培超</w:t>
            </w:r>
          </w:p>
        </w:tc>
        <w:tc>
          <w:tcPr>
            <w:tcW w:w="2581" w:type="pct"/>
          </w:tcPr>
          <w:p w14:paraId="3466BBBC">
            <w:pPr>
              <w:rPr>
                <w:rFonts w:ascii="仿宋" w:hAnsi="仿宋" w:eastAsia="仿宋" w:cs="仿宋"/>
                <w:sz w:val="28"/>
                <w:szCs w:val="36"/>
              </w:rPr>
            </w:pPr>
            <w:r>
              <w:rPr>
                <w:rFonts w:hint="eastAsia" w:ascii="仿宋" w:hAnsi="仿宋" w:eastAsia="仿宋" w:cs="仿宋"/>
                <w:sz w:val="28"/>
                <w:szCs w:val="28"/>
              </w:rPr>
              <w:t>杨瑞枝、郑洪河、高立军、曲群婷、金超、赵建庆、李德成、王海波，该小组同时负责晏成林课题组的科研记录检查。</w:t>
            </w:r>
          </w:p>
        </w:tc>
        <w:tc>
          <w:tcPr>
            <w:tcW w:w="942" w:type="pct"/>
          </w:tcPr>
          <w:p w14:paraId="4A123121">
            <w:pPr>
              <w:rPr>
                <w:rFonts w:ascii="仿宋" w:hAnsi="仿宋" w:eastAsia="仿宋" w:cs="仿宋"/>
                <w:sz w:val="28"/>
                <w:szCs w:val="36"/>
              </w:rPr>
            </w:pPr>
            <w:r>
              <w:rPr>
                <w:rFonts w:hint="eastAsia" w:ascii="仿宋" w:hAnsi="仿宋" w:eastAsia="仿宋" w:cs="仿宋"/>
                <w:sz w:val="28"/>
                <w:szCs w:val="28"/>
              </w:rPr>
              <w:t>邹培超</w:t>
            </w:r>
          </w:p>
        </w:tc>
      </w:tr>
      <w:tr w14:paraId="7E61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Pr>
          <w:p w14:paraId="041642AA">
            <w:pPr>
              <w:rPr>
                <w:rFonts w:ascii="仿宋" w:hAnsi="仿宋" w:eastAsia="仿宋" w:cs="仿宋"/>
                <w:sz w:val="28"/>
                <w:szCs w:val="36"/>
              </w:rPr>
            </w:pPr>
            <w:r>
              <w:rPr>
                <w:rFonts w:hint="eastAsia" w:ascii="仿宋" w:hAnsi="仿宋" w:eastAsia="仿宋" w:cs="仿宋"/>
                <w:sz w:val="28"/>
                <w:szCs w:val="28"/>
              </w:rPr>
              <w:t>小组6</w:t>
            </w:r>
          </w:p>
        </w:tc>
        <w:tc>
          <w:tcPr>
            <w:tcW w:w="740" w:type="pct"/>
          </w:tcPr>
          <w:p w14:paraId="6CF1FD1E">
            <w:pPr>
              <w:rPr>
                <w:rFonts w:ascii="仿宋" w:hAnsi="仿宋" w:eastAsia="仿宋" w:cs="仿宋"/>
                <w:sz w:val="28"/>
                <w:szCs w:val="36"/>
              </w:rPr>
            </w:pPr>
            <w:r>
              <w:rPr>
                <w:rFonts w:hint="eastAsia" w:ascii="仿宋" w:hAnsi="仿宋" w:eastAsia="仿宋" w:cs="仿宋"/>
                <w:sz w:val="28"/>
                <w:szCs w:val="28"/>
              </w:rPr>
              <w:t>黄耀松</w:t>
            </w:r>
          </w:p>
        </w:tc>
        <w:tc>
          <w:tcPr>
            <w:tcW w:w="2581" w:type="pct"/>
          </w:tcPr>
          <w:p w14:paraId="20C1CA9B">
            <w:pPr>
              <w:rPr>
                <w:rFonts w:ascii="仿宋" w:hAnsi="仿宋" w:eastAsia="仿宋" w:cs="仿宋"/>
                <w:sz w:val="28"/>
                <w:szCs w:val="36"/>
              </w:rPr>
            </w:pPr>
            <w:r>
              <w:rPr>
                <w:rFonts w:hint="eastAsia" w:ascii="仿宋" w:hAnsi="仿宋" w:eastAsia="仿宋" w:cs="仿宋"/>
                <w:sz w:val="28"/>
                <w:szCs w:val="28"/>
              </w:rPr>
              <w:t>吴玺、张晓晖</w:t>
            </w:r>
          </w:p>
        </w:tc>
        <w:tc>
          <w:tcPr>
            <w:tcW w:w="942" w:type="pct"/>
          </w:tcPr>
          <w:p w14:paraId="20455D6A">
            <w:pPr>
              <w:rPr>
                <w:rFonts w:ascii="仿宋" w:hAnsi="仿宋" w:eastAsia="仿宋" w:cs="仿宋"/>
                <w:sz w:val="28"/>
                <w:szCs w:val="36"/>
              </w:rPr>
            </w:pPr>
            <w:r>
              <w:rPr>
                <w:rFonts w:hint="eastAsia" w:ascii="仿宋" w:hAnsi="仿宋" w:eastAsia="仿宋" w:cs="仿宋"/>
                <w:sz w:val="28"/>
                <w:szCs w:val="28"/>
              </w:rPr>
              <w:t>黄耀松</w:t>
            </w:r>
          </w:p>
        </w:tc>
      </w:tr>
    </w:tbl>
    <w:p w14:paraId="1AF69487">
      <w:pPr>
        <w:rPr>
          <w:rFonts w:hint="eastAsia" w:ascii="仿宋" w:hAnsi="仿宋" w:eastAsia="仿宋" w:cs="仿宋"/>
          <w:sz w:val="28"/>
          <w:szCs w:val="36"/>
        </w:rPr>
      </w:pPr>
      <w:r>
        <w:rPr>
          <w:rFonts w:hint="eastAsia" w:ascii="仿宋" w:hAnsi="仿宋" w:eastAsia="仿宋"/>
          <w:color w:val="C00000"/>
          <w:sz w:val="28"/>
          <w:szCs w:val="28"/>
        </w:rPr>
        <w:t>请注意：以上导师名下的所有未毕业的2</w:t>
      </w:r>
      <w:r>
        <w:rPr>
          <w:rFonts w:ascii="仿宋" w:hAnsi="仿宋" w:eastAsia="仿宋"/>
          <w:color w:val="C00000"/>
          <w:sz w:val="28"/>
          <w:szCs w:val="28"/>
        </w:rPr>
        <w:t>02</w:t>
      </w:r>
      <w:r>
        <w:rPr>
          <w:rFonts w:hint="eastAsia" w:ascii="仿宋" w:hAnsi="仿宋" w:eastAsia="仿宋"/>
          <w:color w:val="C00000"/>
          <w:sz w:val="28"/>
          <w:szCs w:val="28"/>
          <w:lang w:val="en-US" w:eastAsia="zh-CN"/>
        </w:rPr>
        <w:t>2</w:t>
      </w:r>
      <w:r>
        <w:rPr>
          <w:rFonts w:hint="eastAsia" w:ascii="仿宋" w:hAnsi="仿宋" w:eastAsia="仿宋"/>
          <w:color w:val="C00000"/>
          <w:sz w:val="28"/>
          <w:szCs w:val="28"/>
        </w:rPr>
        <w:t>级、2</w:t>
      </w:r>
      <w:r>
        <w:rPr>
          <w:rFonts w:ascii="仿宋" w:hAnsi="仿宋" w:eastAsia="仿宋"/>
          <w:color w:val="C00000"/>
          <w:sz w:val="28"/>
          <w:szCs w:val="28"/>
        </w:rPr>
        <w:t>02</w:t>
      </w:r>
      <w:r>
        <w:rPr>
          <w:rFonts w:hint="eastAsia" w:ascii="仿宋" w:hAnsi="仿宋" w:eastAsia="仿宋"/>
          <w:color w:val="C00000"/>
          <w:sz w:val="28"/>
          <w:szCs w:val="28"/>
          <w:lang w:val="en-US" w:eastAsia="zh-CN"/>
        </w:rPr>
        <w:t>3</w:t>
      </w:r>
      <w:r>
        <w:rPr>
          <w:rFonts w:hint="eastAsia" w:ascii="仿宋" w:hAnsi="仿宋" w:eastAsia="仿宋"/>
          <w:color w:val="C00000"/>
          <w:sz w:val="28"/>
          <w:szCs w:val="28"/>
        </w:rPr>
        <w:t>级及超过基本学制的硕士生和博士生都务必参加，如有特殊情况不参加者，请上报自查小组组长，由组长上报学院备案</w:t>
      </w:r>
      <w:r>
        <w:rPr>
          <w:rFonts w:hint="eastAsia" w:ascii="仿宋" w:hAnsi="仿宋" w:eastAsia="仿宋"/>
          <w:color w:val="C00000"/>
        </w:rPr>
        <w:t>。</w:t>
      </w:r>
    </w:p>
    <w:p w14:paraId="63CDCBEF">
      <w:pPr>
        <w:numPr>
          <w:ilvl w:val="0"/>
          <w:numId w:val="1"/>
        </w:numPr>
        <w:ind w:firstLine="420"/>
        <w:rPr>
          <w:rFonts w:ascii="黑体" w:hAnsi="黑体" w:eastAsia="黑体" w:cs="黑体"/>
          <w:sz w:val="28"/>
          <w:szCs w:val="36"/>
        </w:rPr>
      </w:pPr>
      <w:r>
        <w:rPr>
          <w:rFonts w:hint="eastAsia" w:ascii="黑体" w:hAnsi="黑体" w:eastAsia="黑体" w:cs="黑体"/>
          <w:sz w:val="28"/>
          <w:szCs w:val="36"/>
        </w:rPr>
        <w:t>科研记录检查内容</w:t>
      </w:r>
    </w:p>
    <w:p w14:paraId="458F9215">
      <w:pPr>
        <w:ind w:firstLine="420"/>
        <w:rPr>
          <w:rFonts w:ascii="仿宋" w:hAnsi="仿宋" w:eastAsia="仿宋" w:cs="仿宋"/>
          <w:sz w:val="28"/>
          <w:szCs w:val="36"/>
        </w:rPr>
      </w:pPr>
      <w:r>
        <w:rPr>
          <w:rFonts w:hint="eastAsia" w:ascii="仿宋" w:hAnsi="仿宋" w:eastAsia="仿宋" w:cs="仿宋"/>
          <w:sz w:val="28"/>
          <w:szCs w:val="36"/>
        </w:rPr>
        <w:t>研究生科研记录检查内容应包含：科研记录客观真实性、完整性、科研记录导师常规检查记录、科研记录格式及内容规范性、保管存档等情况。重点检查科研记录是否规范填写、是否能反映科研论文实际、科研记录的数据和资料是否与毕业论文和学位论文相对应及超学制研究生的科研进展情况。</w:t>
      </w:r>
    </w:p>
    <w:p w14:paraId="29D9111F">
      <w:pPr>
        <w:ind w:firstLine="420"/>
        <w:rPr>
          <w:rFonts w:ascii="仿宋" w:hAnsi="仿宋" w:eastAsia="仿宋" w:cs="仿宋"/>
          <w:bCs/>
          <w:sz w:val="28"/>
          <w:szCs w:val="36"/>
        </w:rPr>
      </w:pPr>
      <w:r>
        <w:rPr>
          <w:rFonts w:hint="eastAsia" w:ascii="仿宋" w:hAnsi="仿宋" w:eastAsia="仿宋" w:cs="仿宋"/>
          <w:bCs/>
          <w:sz w:val="28"/>
          <w:szCs w:val="36"/>
        </w:rPr>
        <w:t>本单位研究生科研记录的基本要求：</w:t>
      </w:r>
    </w:p>
    <w:p w14:paraId="5C09123B">
      <w:pPr>
        <w:ind w:firstLine="562"/>
        <w:rPr>
          <w:rFonts w:ascii="仿宋" w:hAnsi="仿宋" w:eastAsia="仿宋" w:cs="仿宋"/>
          <w:bCs/>
          <w:sz w:val="28"/>
          <w:szCs w:val="36"/>
        </w:rPr>
      </w:pPr>
      <w:r>
        <w:rPr>
          <w:rFonts w:hint="eastAsia" w:ascii="仿宋" w:hAnsi="仿宋" w:eastAsia="仿宋" w:cs="仿宋"/>
          <w:bCs/>
          <w:sz w:val="28"/>
          <w:szCs w:val="36"/>
        </w:rPr>
        <w:t>（1）科研记录是否规范、所记载实验步骤是否足以支持第三方根据科研记录独立重复；</w:t>
      </w:r>
    </w:p>
    <w:p w14:paraId="630D45D6">
      <w:pPr>
        <w:ind w:firstLine="562"/>
        <w:rPr>
          <w:rFonts w:hint="eastAsia" w:ascii="仿宋" w:hAnsi="仿宋" w:eastAsia="仿宋" w:cs="仿宋"/>
          <w:bCs/>
          <w:sz w:val="28"/>
          <w:szCs w:val="36"/>
        </w:rPr>
      </w:pPr>
      <w:r>
        <w:rPr>
          <w:rFonts w:hint="eastAsia" w:ascii="仿宋" w:hAnsi="仿宋" w:eastAsia="仿宋" w:cs="仿宋"/>
          <w:bCs/>
          <w:sz w:val="28"/>
          <w:szCs w:val="36"/>
        </w:rPr>
        <w:t>（2）实验结果描述是否规范，对于有数据涂改的地方是否记载原因或能解释清楚；</w:t>
      </w:r>
    </w:p>
    <w:p w14:paraId="0F3D0BDF">
      <w:pPr>
        <w:ind w:firstLine="562"/>
        <w:rPr>
          <w:rFonts w:hint="eastAsia" w:ascii="仿宋" w:hAnsi="仿宋" w:eastAsia="仿宋" w:cs="仿宋"/>
          <w:bCs/>
          <w:sz w:val="28"/>
          <w:szCs w:val="36"/>
        </w:rPr>
      </w:pPr>
      <w:r>
        <w:rPr>
          <w:rFonts w:hint="eastAsia" w:ascii="仿宋" w:hAnsi="仿宋" w:eastAsia="仿宋" w:cs="仿宋"/>
          <w:bCs/>
          <w:sz w:val="28"/>
          <w:szCs w:val="36"/>
        </w:rPr>
        <w:t>（3）实验仪器测得的原始数据是否保存完好，能否根据科研记录找到相应的原始数据；</w:t>
      </w:r>
    </w:p>
    <w:p w14:paraId="3080662B">
      <w:pPr>
        <w:ind w:firstLine="562"/>
        <w:rPr>
          <w:rFonts w:ascii="仿宋" w:hAnsi="仿宋" w:eastAsia="仿宋" w:cs="仿宋"/>
          <w:sz w:val="28"/>
          <w:szCs w:val="36"/>
        </w:rPr>
      </w:pPr>
      <w:r>
        <w:rPr>
          <w:rFonts w:hint="eastAsia" w:ascii="仿宋" w:hAnsi="仿宋" w:eastAsia="仿宋" w:cs="仿宋"/>
          <w:bCs/>
          <w:sz w:val="28"/>
          <w:szCs w:val="36"/>
        </w:rPr>
        <w:t>（4）字迹是否清晰可辨，对待科研记录的态度是否端正。</w:t>
      </w:r>
    </w:p>
    <w:p w14:paraId="10ECA047">
      <w:pPr>
        <w:numPr>
          <w:ilvl w:val="0"/>
          <w:numId w:val="1"/>
        </w:numPr>
        <w:ind w:firstLine="420"/>
        <w:rPr>
          <w:rFonts w:ascii="黑体" w:hAnsi="黑体" w:eastAsia="黑体" w:cs="黑体"/>
          <w:sz w:val="28"/>
          <w:szCs w:val="36"/>
        </w:rPr>
      </w:pPr>
      <w:r>
        <w:rPr>
          <w:rFonts w:hint="eastAsia" w:ascii="黑体" w:hAnsi="黑体" w:eastAsia="黑体" w:cs="黑体"/>
          <w:sz w:val="28"/>
          <w:szCs w:val="36"/>
        </w:rPr>
        <w:t>科研记录自查时间地点安排</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4364"/>
        <w:gridCol w:w="2748"/>
      </w:tblGrid>
      <w:tr w14:paraId="7C51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7B68E3C4">
            <w:pPr>
              <w:jc w:val="center"/>
              <w:rPr>
                <w:rFonts w:ascii="Times New Roman" w:hAnsi="Times New Roman" w:eastAsia="仿宋" w:cs="Times New Roman"/>
                <w:sz w:val="28"/>
                <w:szCs w:val="36"/>
              </w:rPr>
            </w:pPr>
            <w:r>
              <w:rPr>
                <w:rFonts w:hint="eastAsia" w:ascii="Times New Roman" w:hAnsi="Times New Roman" w:eastAsia="仿宋" w:cs="Times New Roman"/>
                <w:sz w:val="28"/>
                <w:szCs w:val="36"/>
              </w:rPr>
              <w:t>分组</w:t>
            </w:r>
          </w:p>
        </w:tc>
        <w:tc>
          <w:tcPr>
            <w:tcW w:w="2465" w:type="pct"/>
            <w:vAlign w:val="center"/>
          </w:tcPr>
          <w:p w14:paraId="156CAEE8">
            <w:pPr>
              <w:jc w:val="center"/>
              <w:rPr>
                <w:rFonts w:ascii="Times New Roman" w:hAnsi="Times New Roman" w:eastAsia="仿宋" w:cs="Times New Roman"/>
                <w:sz w:val="28"/>
                <w:szCs w:val="36"/>
              </w:rPr>
            </w:pPr>
            <w:r>
              <w:rPr>
                <w:rFonts w:ascii="Times New Roman" w:hAnsi="Times New Roman" w:eastAsia="仿宋" w:cs="Times New Roman"/>
                <w:sz w:val="28"/>
                <w:szCs w:val="36"/>
              </w:rPr>
              <w:t>科研记录自查时间</w:t>
            </w:r>
          </w:p>
        </w:tc>
        <w:tc>
          <w:tcPr>
            <w:tcW w:w="1552" w:type="pct"/>
            <w:vAlign w:val="center"/>
          </w:tcPr>
          <w:p w14:paraId="5190621A">
            <w:pPr>
              <w:jc w:val="center"/>
              <w:rPr>
                <w:rFonts w:ascii="Times New Roman" w:hAnsi="Times New Roman" w:eastAsia="仿宋" w:cs="Times New Roman"/>
                <w:sz w:val="28"/>
                <w:szCs w:val="36"/>
              </w:rPr>
            </w:pPr>
            <w:r>
              <w:rPr>
                <w:rFonts w:ascii="Times New Roman" w:hAnsi="Times New Roman" w:eastAsia="仿宋" w:cs="Times New Roman"/>
                <w:sz w:val="28"/>
                <w:szCs w:val="36"/>
              </w:rPr>
              <w:t>地点安排</w:t>
            </w:r>
          </w:p>
        </w:tc>
      </w:tr>
      <w:tr w14:paraId="6529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20579289">
            <w:pPr>
              <w:jc w:val="center"/>
              <w:rPr>
                <w:rFonts w:ascii="Times New Roman" w:hAnsi="Times New Roman" w:eastAsia="仿宋" w:cs="Times New Roman"/>
                <w:sz w:val="28"/>
                <w:szCs w:val="36"/>
              </w:rPr>
            </w:pPr>
            <w:r>
              <w:rPr>
                <w:rFonts w:ascii="Times New Roman" w:hAnsi="Times New Roman" w:eastAsia="仿宋" w:cs="Times New Roman"/>
                <w:sz w:val="28"/>
                <w:szCs w:val="36"/>
              </w:rPr>
              <w:t>小组1</w:t>
            </w:r>
          </w:p>
        </w:tc>
        <w:tc>
          <w:tcPr>
            <w:tcW w:w="2465" w:type="pct"/>
          </w:tcPr>
          <w:p w14:paraId="59AAB87B">
            <w:pPr>
              <w:jc w:val="center"/>
              <w:rPr>
                <w:rFonts w:ascii="Times New Roman" w:hAnsi="Times New Roman" w:eastAsia="仿宋" w:cs="Times New Roman"/>
                <w:sz w:val="28"/>
                <w:szCs w:val="36"/>
              </w:rPr>
            </w:pPr>
            <w:r>
              <w:rPr>
                <w:rFonts w:ascii="Times New Roman" w:hAnsi="Times New Roman" w:eastAsia="仿宋" w:cs="Times New Roman"/>
                <w:sz w:val="28"/>
                <w:szCs w:val="36"/>
              </w:rPr>
              <w:t>4月16日（周三）下午</w:t>
            </w:r>
          </w:p>
        </w:tc>
        <w:tc>
          <w:tcPr>
            <w:tcW w:w="1552" w:type="pct"/>
          </w:tcPr>
          <w:p w14:paraId="354FA675">
            <w:pPr>
              <w:jc w:val="center"/>
              <w:rPr>
                <w:rFonts w:ascii="Times New Roman" w:hAnsi="Times New Roman" w:eastAsia="仿宋" w:cs="Times New Roman"/>
                <w:sz w:val="28"/>
                <w:szCs w:val="36"/>
              </w:rPr>
            </w:pPr>
            <w:r>
              <w:rPr>
                <w:rFonts w:ascii="Times New Roman" w:hAnsi="Times New Roman" w:eastAsia="仿宋" w:cs="Times New Roman"/>
                <w:sz w:val="28"/>
                <w:szCs w:val="36"/>
              </w:rPr>
              <w:t>新能源大楼215</w:t>
            </w:r>
          </w:p>
        </w:tc>
      </w:tr>
      <w:tr w14:paraId="49DB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7A0DE609">
            <w:pPr>
              <w:jc w:val="center"/>
              <w:rPr>
                <w:rFonts w:ascii="Times New Roman" w:hAnsi="Times New Roman" w:eastAsia="仿宋" w:cs="Times New Roman"/>
                <w:sz w:val="28"/>
                <w:szCs w:val="36"/>
              </w:rPr>
            </w:pPr>
            <w:r>
              <w:rPr>
                <w:rFonts w:ascii="Times New Roman" w:hAnsi="Times New Roman" w:eastAsia="仿宋" w:cs="Times New Roman"/>
                <w:sz w:val="28"/>
                <w:szCs w:val="36"/>
              </w:rPr>
              <w:t>小组2</w:t>
            </w:r>
          </w:p>
        </w:tc>
        <w:tc>
          <w:tcPr>
            <w:tcW w:w="2465" w:type="pct"/>
          </w:tcPr>
          <w:p w14:paraId="023EDF29">
            <w:pPr>
              <w:jc w:val="center"/>
              <w:rPr>
                <w:rFonts w:ascii="Times New Roman" w:hAnsi="Times New Roman" w:eastAsia="仿宋" w:cs="Times New Roman"/>
                <w:sz w:val="28"/>
                <w:szCs w:val="36"/>
              </w:rPr>
            </w:pPr>
            <w:r>
              <w:rPr>
                <w:rFonts w:ascii="Times New Roman" w:hAnsi="Times New Roman" w:eastAsia="仿宋" w:cs="Times New Roman"/>
                <w:sz w:val="28"/>
                <w:szCs w:val="36"/>
              </w:rPr>
              <w:t>4月16日（周三）下午</w:t>
            </w:r>
          </w:p>
        </w:tc>
        <w:tc>
          <w:tcPr>
            <w:tcW w:w="1552" w:type="pct"/>
          </w:tcPr>
          <w:p w14:paraId="4103CCFC">
            <w:pPr>
              <w:jc w:val="center"/>
              <w:rPr>
                <w:rFonts w:ascii="Times New Roman" w:hAnsi="Times New Roman" w:eastAsia="仿宋" w:cs="Times New Roman"/>
                <w:sz w:val="28"/>
                <w:szCs w:val="36"/>
              </w:rPr>
            </w:pPr>
            <w:r>
              <w:rPr>
                <w:rFonts w:ascii="Times New Roman" w:hAnsi="Times New Roman" w:eastAsia="仿宋" w:cs="Times New Roman"/>
                <w:sz w:val="28"/>
                <w:szCs w:val="36"/>
              </w:rPr>
              <w:t>新能源大楼102</w:t>
            </w:r>
          </w:p>
        </w:tc>
      </w:tr>
      <w:tr w14:paraId="5F92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5D5D68F7">
            <w:pPr>
              <w:jc w:val="center"/>
              <w:rPr>
                <w:rFonts w:ascii="Times New Roman" w:hAnsi="Times New Roman" w:eastAsia="仿宋" w:cs="Times New Roman"/>
                <w:sz w:val="28"/>
                <w:szCs w:val="36"/>
              </w:rPr>
            </w:pPr>
            <w:r>
              <w:rPr>
                <w:rFonts w:ascii="Times New Roman" w:hAnsi="Times New Roman" w:eastAsia="仿宋" w:cs="Times New Roman"/>
                <w:sz w:val="28"/>
                <w:szCs w:val="36"/>
              </w:rPr>
              <w:t>小组3</w:t>
            </w:r>
          </w:p>
        </w:tc>
        <w:tc>
          <w:tcPr>
            <w:tcW w:w="2465" w:type="pct"/>
          </w:tcPr>
          <w:p w14:paraId="6390AE8F">
            <w:pPr>
              <w:jc w:val="center"/>
              <w:rPr>
                <w:rFonts w:ascii="Times New Roman" w:hAnsi="Times New Roman" w:eastAsia="仿宋" w:cs="Times New Roman"/>
                <w:sz w:val="28"/>
                <w:szCs w:val="36"/>
              </w:rPr>
            </w:pPr>
            <w:r>
              <w:rPr>
                <w:rFonts w:ascii="Times New Roman" w:hAnsi="Times New Roman" w:eastAsia="仿宋" w:cs="Times New Roman"/>
                <w:sz w:val="28"/>
                <w:szCs w:val="36"/>
              </w:rPr>
              <w:t>4月16日（周三）下午</w:t>
            </w:r>
          </w:p>
        </w:tc>
        <w:tc>
          <w:tcPr>
            <w:tcW w:w="1552" w:type="pct"/>
          </w:tcPr>
          <w:p w14:paraId="40859431">
            <w:pPr>
              <w:jc w:val="center"/>
              <w:rPr>
                <w:rFonts w:ascii="Times New Roman" w:hAnsi="Times New Roman" w:eastAsia="仿宋" w:cs="Times New Roman"/>
                <w:sz w:val="28"/>
                <w:szCs w:val="36"/>
              </w:rPr>
            </w:pPr>
            <w:r>
              <w:rPr>
                <w:rFonts w:ascii="Times New Roman" w:hAnsi="Times New Roman" w:eastAsia="仿宋" w:cs="Times New Roman"/>
                <w:sz w:val="28"/>
                <w:szCs w:val="36"/>
              </w:rPr>
              <w:t>新能源大楼102</w:t>
            </w:r>
          </w:p>
        </w:tc>
      </w:tr>
      <w:tr w14:paraId="4F90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5E3A4FF1">
            <w:pPr>
              <w:jc w:val="center"/>
              <w:rPr>
                <w:rFonts w:ascii="Times New Roman" w:hAnsi="Times New Roman" w:eastAsia="仿宋" w:cs="Times New Roman"/>
                <w:sz w:val="28"/>
                <w:szCs w:val="36"/>
              </w:rPr>
            </w:pPr>
            <w:r>
              <w:rPr>
                <w:rFonts w:ascii="Times New Roman" w:hAnsi="Times New Roman" w:eastAsia="仿宋" w:cs="Times New Roman"/>
                <w:sz w:val="28"/>
                <w:szCs w:val="36"/>
              </w:rPr>
              <w:t>小组4</w:t>
            </w:r>
          </w:p>
        </w:tc>
        <w:tc>
          <w:tcPr>
            <w:tcW w:w="2465" w:type="pct"/>
          </w:tcPr>
          <w:p w14:paraId="7E19AD29">
            <w:pPr>
              <w:jc w:val="center"/>
              <w:rPr>
                <w:rFonts w:ascii="Times New Roman" w:hAnsi="Times New Roman" w:eastAsia="仿宋" w:cs="Times New Roman"/>
                <w:sz w:val="28"/>
                <w:szCs w:val="36"/>
              </w:rPr>
            </w:pPr>
            <w:r>
              <w:rPr>
                <w:rFonts w:ascii="Times New Roman" w:hAnsi="Times New Roman" w:eastAsia="仿宋" w:cs="Times New Roman"/>
                <w:sz w:val="28"/>
                <w:szCs w:val="36"/>
              </w:rPr>
              <w:t>4月16日（周三）下午</w:t>
            </w:r>
          </w:p>
        </w:tc>
        <w:tc>
          <w:tcPr>
            <w:tcW w:w="1552" w:type="pct"/>
          </w:tcPr>
          <w:p w14:paraId="3A14EB37">
            <w:pPr>
              <w:jc w:val="center"/>
              <w:rPr>
                <w:rFonts w:ascii="Times New Roman" w:hAnsi="Times New Roman" w:eastAsia="仿宋" w:cs="Times New Roman"/>
                <w:sz w:val="28"/>
                <w:szCs w:val="36"/>
              </w:rPr>
            </w:pPr>
            <w:r>
              <w:rPr>
                <w:rFonts w:ascii="Times New Roman" w:hAnsi="Times New Roman" w:eastAsia="仿宋" w:cs="Times New Roman"/>
                <w:sz w:val="28"/>
                <w:szCs w:val="36"/>
              </w:rPr>
              <w:t>新能源大楼102</w:t>
            </w:r>
          </w:p>
        </w:tc>
      </w:tr>
      <w:tr w14:paraId="386E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5EA64785">
            <w:pPr>
              <w:jc w:val="center"/>
              <w:rPr>
                <w:rFonts w:ascii="Times New Roman" w:hAnsi="Times New Roman" w:eastAsia="仿宋" w:cs="Times New Roman"/>
                <w:sz w:val="28"/>
                <w:szCs w:val="36"/>
              </w:rPr>
            </w:pPr>
            <w:r>
              <w:rPr>
                <w:rFonts w:ascii="Times New Roman" w:hAnsi="Times New Roman" w:eastAsia="仿宋" w:cs="Times New Roman"/>
                <w:sz w:val="28"/>
                <w:szCs w:val="36"/>
              </w:rPr>
              <w:t>小组5</w:t>
            </w:r>
          </w:p>
        </w:tc>
        <w:tc>
          <w:tcPr>
            <w:tcW w:w="2465" w:type="pct"/>
          </w:tcPr>
          <w:p w14:paraId="6C5BE813">
            <w:pPr>
              <w:jc w:val="center"/>
              <w:rPr>
                <w:rFonts w:ascii="Times New Roman" w:hAnsi="Times New Roman" w:eastAsia="仿宋" w:cs="Times New Roman"/>
                <w:sz w:val="28"/>
                <w:szCs w:val="36"/>
              </w:rPr>
            </w:pPr>
            <w:r>
              <w:rPr>
                <w:rFonts w:ascii="Times New Roman" w:hAnsi="Times New Roman" w:eastAsia="仿宋" w:cs="Times New Roman"/>
                <w:sz w:val="28"/>
                <w:szCs w:val="36"/>
              </w:rPr>
              <w:t>4月16日（周三）下午</w:t>
            </w:r>
          </w:p>
        </w:tc>
        <w:tc>
          <w:tcPr>
            <w:tcW w:w="1552" w:type="pct"/>
          </w:tcPr>
          <w:p w14:paraId="0F50C222">
            <w:pPr>
              <w:jc w:val="center"/>
              <w:rPr>
                <w:rFonts w:ascii="Times New Roman" w:hAnsi="Times New Roman" w:eastAsia="仿宋" w:cs="Times New Roman"/>
                <w:sz w:val="28"/>
                <w:szCs w:val="36"/>
              </w:rPr>
            </w:pPr>
            <w:r>
              <w:rPr>
                <w:rFonts w:ascii="Times New Roman" w:hAnsi="Times New Roman" w:eastAsia="仿宋" w:cs="Times New Roman"/>
                <w:sz w:val="28"/>
                <w:szCs w:val="36"/>
              </w:rPr>
              <w:t>物科楼237</w:t>
            </w:r>
          </w:p>
        </w:tc>
      </w:tr>
      <w:tr w14:paraId="3911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6E825E69">
            <w:pPr>
              <w:jc w:val="center"/>
              <w:rPr>
                <w:rFonts w:ascii="Times New Roman" w:hAnsi="Times New Roman" w:eastAsia="仿宋" w:cs="Times New Roman"/>
                <w:sz w:val="28"/>
                <w:szCs w:val="36"/>
              </w:rPr>
            </w:pPr>
            <w:r>
              <w:rPr>
                <w:rFonts w:ascii="Times New Roman" w:hAnsi="Times New Roman" w:eastAsia="仿宋" w:cs="Times New Roman"/>
                <w:sz w:val="28"/>
                <w:szCs w:val="28"/>
              </w:rPr>
              <w:t>小组6</w:t>
            </w:r>
          </w:p>
        </w:tc>
        <w:tc>
          <w:tcPr>
            <w:tcW w:w="2465" w:type="pct"/>
          </w:tcPr>
          <w:p w14:paraId="68226F43">
            <w:pPr>
              <w:jc w:val="center"/>
              <w:rPr>
                <w:rFonts w:ascii="Times New Roman" w:hAnsi="Times New Roman" w:eastAsia="仿宋" w:cs="Times New Roman"/>
                <w:sz w:val="28"/>
                <w:szCs w:val="36"/>
              </w:rPr>
            </w:pPr>
            <w:r>
              <w:rPr>
                <w:rFonts w:ascii="Times New Roman" w:hAnsi="Times New Roman" w:eastAsia="仿宋" w:cs="Times New Roman"/>
                <w:sz w:val="28"/>
                <w:szCs w:val="28"/>
              </w:rPr>
              <w:t>4月16日（周三）下午</w:t>
            </w:r>
          </w:p>
        </w:tc>
        <w:tc>
          <w:tcPr>
            <w:tcW w:w="1552" w:type="pct"/>
          </w:tcPr>
          <w:p w14:paraId="42A4F812">
            <w:pPr>
              <w:jc w:val="center"/>
              <w:rPr>
                <w:rFonts w:ascii="Times New Roman" w:hAnsi="Times New Roman" w:eastAsia="仿宋" w:cs="Times New Roman"/>
                <w:sz w:val="28"/>
                <w:szCs w:val="36"/>
              </w:rPr>
            </w:pPr>
            <w:r>
              <w:rPr>
                <w:rFonts w:ascii="Times New Roman" w:hAnsi="Times New Roman" w:eastAsia="仿宋" w:cs="Times New Roman"/>
                <w:sz w:val="28"/>
                <w:szCs w:val="28"/>
              </w:rPr>
              <w:t>致远楼</w:t>
            </w:r>
          </w:p>
        </w:tc>
      </w:tr>
    </w:tbl>
    <w:p w14:paraId="3F2C951E">
      <w:pPr>
        <w:ind w:firstLine="565" w:firstLineChars="202"/>
        <w:rPr>
          <w:rFonts w:ascii="黑体" w:hAnsi="黑体" w:eastAsia="黑体" w:cs="黑体"/>
          <w:color w:val="FF0000"/>
          <w:sz w:val="28"/>
          <w:szCs w:val="28"/>
        </w:rPr>
      </w:pPr>
      <w:r>
        <w:rPr>
          <w:rFonts w:hint="eastAsia" w:ascii="仿宋" w:hAnsi="仿宋" w:eastAsia="仿宋"/>
          <w:color w:val="FF0000"/>
          <w:sz w:val="28"/>
          <w:szCs w:val="28"/>
          <w:shd w:val="clear" w:color="auto" w:fill="FFFFFF"/>
        </w:rPr>
        <w:t>请注意：研究生院质量监督办公室根据各学院自查方案中的时间、地点安排，组织校督导委员督查科研记录自查工作的组织与实施情况，抽取一定数量的研究生科研记录进行现场审核，抽查名单另行通知。</w:t>
      </w:r>
    </w:p>
    <w:p w14:paraId="53C28B94">
      <w:pPr>
        <w:ind w:firstLine="420"/>
        <w:rPr>
          <w:rFonts w:hint="eastAsia" w:ascii="仿宋" w:hAnsi="仿宋" w:eastAsia="仿宋" w:cs="仿宋"/>
          <w:sz w:val="28"/>
          <w:szCs w:val="36"/>
        </w:rPr>
      </w:pPr>
    </w:p>
    <w:p w14:paraId="3A6151FA">
      <w:pPr>
        <w:numPr>
          <w:ilvl w:val="0"/>
          <w:numId w:val="1"/>
        </w:numPr>
        <w:ind w:firstLine="420"/>
        <w:rPr>
          <w:rFonts w:ascii="黑体" w:hAnsi="黑体" w:eastAsia="黑体" w:cs="黑体"/>
          <w:sz w:val="28"/>
          <w:szCs w:val="36"/>
        </w:rPr>
      </w:pPr>
      <w:r>
        <w:rPr>
          <w:rFonts w:hint="eastAsia" w:ascii="黑体" w:hAnsi="黑体" w:eastAsia="黑体" w:cs="黑体"/>
          <w:sz w:val="28"/>
          <w:szCs w:val="36"/>
        </w:rPr>
        <w:t>申请答辩硕士研究生科研记录自查方案</w:t>
      </w:r>
    </w:p>
    <w:p w14:paraId="0D5D6A60">
      <w:pPr>
        <w:ind w:firstLine="560"/>
        <w:rPr>
          <w:rFonts w:ascii="仿宋" w:hAnsi="仿宋" w:eastAsia="仿宋" w:cs="仿宋"/>
          <w:sz w:val="28"/>
          <w:szCs w:val="28"/>
        </w:rPr>
      </w:pPr>
      <w:r>
        <w:rPr>
          <w:rFonts w:hint="eastAsia" w:ascii="仿宋" w:hAnsi="仿宋" w:eastAsia="仿宋" w:cs="仿宋"/>
          <w:sz w:val="28"/>
          <w:szCs w:val="28"/>
        </w:rPr>
        <w:t>博士研究生答辩前科研记录由研究生院质量监督办公室组织专家统一进行审核，审核时间另行通知。</w:t>
      </w:r>
    </w:p>
    <w:p w14:paraId="3B0F91FD">
      <w:pPr>
        <w:pStyle w:val="6"/>
        <w:ind w:firstLine="565" w:firstLineChars="202"/>
        <w:rPr>
          <w:rFonts w:ascii="仿宋" w:hAnsi="仿宋" w:eastAsia="仿宋" w:cs="仿宋"/>
          <w:sz w:val="28"/>
          <w:szCs w:val="28"/>
        </w:rPr>
      </w:pPr>
      <w:r>
        <w:rPr>
          <w:rFonts w:hint="eastAsia" w:ascii="仿宋" w:hAnsi="仿宋" w:eastAsia="仿宋" w:cs="仿宋"/>
          <w:sz w:val="28"/>
          <w:szCs w:val="28"/>
        </w:rPr>
        <w:t>硕士研究生申请答辩前，</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本学期批次答辩的研究生，</w:t>
      </w:r>
      <w:bookmarkStart w:id="0" w:name="_GoBack"/>
      <w:bookmarkEnd w:id="0"/>
      <w:r>
        <w:rPr>
          <w:rFonts w:hint="eastAsia" w:ascii="仿宋" w:hAnsi="仿宋" w:eastAsia="仿宋" w:cs="仿宋"/>
          <w:color w:val="0000FF"/>
          <w:sz w:val="28"/>
          <w:szCs w:val="28"/>
          <w:lang w:val="en-US" w:eastAsia="zh-CN"/>
        </w:rPr>
        <w:t>可以在4月16日），</w:t>
      </w:r>
      <w:r>
        <w:rPr>
          <w:rFonts w:hint="eastAsia" w:ascii="仿宋" w:hAnsi="仿宋" w:eastAsia="仿宋" w:cs="仿宋"/>
          <w:sz w:val="28"/>
          <w:szCs w:val="28"/>
        </w:rPr>
        <w:t>将科研记录本及科研记录答辩前审核情况表（自行打印）提交至各自查小组（见此文中表一：自查小组名单），并且应至少提前两周将审核小组组长签字的《研究生科研记录答辩前审核情况表》上交新能源大楼附楼110办公室【科研记录本不用上交】。审核通过后方可参加答辩环节。</w:t>
      </w:r>
    </w:p>
    <w:p w14:paraId="03D3BB1E">
      <w:pPr>
        <w:pStyle w:val="2"/>
        <w:shd w:val="clear" w:color="auto" w:fill="FFFFFF"/>
        <w:spacing w:before="0" w:beforeAutospacing="0" w:after="0" w:afterAutospacing="0" w:line="585" w:lineRule="atLeast"/>
        <w:ind w:firstLine="560"/>
        <w:rPr>
          <w:rFonts w:ascii="仿宋_GB2312" w:eastAsia="仿宋_GB2312"/>
          <w:color w:val="000000"/>
          <w:sz w:val="28"/>
          <w:szCs w:val="28"/>
        </w:rPr>
      </w:pPr>
      <w:r>
        <w:rPr>
          <w:rFonts w:hint="eastAsia" w:ascii="仿宋" w:hAnsi="仿宋" w:eastAsia="仿宋"/>
          <w:color w:val="000000"/>
          <w:sz w:val="28"/>
          <w:szCs w:val="28"/>
          <w:lang w:val="en-US" w:eastAsia="zh-CN"/>
        </w:rPr>
        <w:t>对于学位论文答辩环节，</w:t>
      </w:r>
      <w:r>
        <w:rPr>
          <w:rFonts w:hint="eastAsia" w:ascii="仿宋" w:hAnsi="仿宋" w:eastAsia="仿宋"/>
          <w:color w:val="000000"/>
          <w:sz w:val="28"/>
          <w:szCs w:val="28"/>
        </w:rPr>
        <w:t>申请答辩的硕士生和博士生，应将原始科研记录材料、科研记录答辩前审核情况表（附件4）和科研记录与论文关联性论证（附件5）一并提交学位论文答辩小组审阅，科研记录答辩前审核情况表由各基层研究生培养单位留存备查。</w:t>
      </w:r>
    </w:p>
    <w:p w14:paraId="53197E24">
      <w:pPr>
        <w:pStyle w:val="2"/>
        <w:shd w:val="clear" w:color="auto" w:fill="FFFFFF"/>
        <w:spacing w:before="0" w:beforeAutospacing="0" w:after="0" w:afterAutospacing="0" w:line="585" w:lineRule="atLeast"/>
        <w:ind w:firstLine="560"/>
        <w:rPr>
          <w:rFonts w:hint="eastAsia" w:ascii="黑体" w:hAnsi="黑体" w:eastAsia="黑体" w:cs="黑体"/>
          <w:sz w:val="28"/>
          <w:szCs w:val="36"/>
        </w:rPr>
      </w:pPr>
      <w:r>
        <w:rPr>
          <w:rFonts w:hint="eastAsia" w:ascii="仿宋" w:hAnsi="仿宋" w:eastAsia="仿宋"/>
          <w:color w:val="000000"/>
          <w:sz w:val="28"/>
          <w:szCs w:val="28"/>
        </w:rPr>
        <w:t>科研记录检查不合格的研究生将根据《苏州大学研究生科研记录规范暂行管理办法》（苏大研〔2018〕67号）规定，暂停其学位论文答辩申请。</w:t>
      </w:r>
    </w:p>
    <w:p w14:paraId="1BE138F1">
      <w:pPr>
        <w:numPr>
          <w:numId w:val="0"/>
        </w:numPr>
        <w:rPr>
          <w:rFonts w:hint="eastAsia" w:ascii="黑体" w:hAnsi="黑体" w:eastAsia="黑体" w:cs="黑体"/>
          <w:sz w:val="28"/>
          <w:szCs w:val="36"/>
        </w:rPr>
      </w:pPr>
    </w:p>
    <w:p w14:paraId="10681B5D">
      <w:pPr>
        <w:numPr>
          <w:ilvl w:val="0"/>
          <w:numId w:val="1"/>
        </w:numPr>
        <w:ind w:firstLine="420"/>
        <w:rPr>
          <w:rFonts w:ascii="黑体" w:hAnsi="黑体" w:eastAsia="黑体" w:cs="黑体"/>
          <w:sz w:val="28"/>
          <w:szCs w:val="36"/>
        </w:rPr>
      </w:pPr>
      <w:r>
        <w:rPr>
          <w:rFonts w:hint="eastAsia" w:ascii="黑体" w:hAnsi="黑体" w:eastAsia="黑体" w:cs="黑体"/>
          <w:sz w:val="28"/>
          <w:szCs w:val="36"/>
        </w:rPr>
        <w:t>其他</w:t>
      </w:r>
    </w:p>
    <w:p w14:paraId="49B06610">
      <w:pPr>
        <w:ind w:firstLine="420"/>
        <w:rPr>
          <w:rFonts w:hint="eastAsia" w:ascii="仿宋" w:hAnsi="仿宋" w:eastAsia="仿宋" w:cs="仿宋"/>
          <w:sz w:val="28"/>
          <w:szCs w:val="36"/>
        </w:rPr>
      </w:pPr>
      <w:r>
        <w:rPr>
          <w:rFonts w:hint="eastAsia" w:ascii="仿宋" w:hAnsi="仿宋" w:eastAsia="仿宋" w:cs="仿宋"/>
          <w:sz w:val="28"/>
          <w:szCs w:val="36"/>
        </w:rPr>
        <w:t>无。</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FD949"/>
    <w:multiLevelType w:val="singleLevel"/>
    <w:tmpl w:val="AE5FD9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hOGEyNjJmN2JiNWNlZGY5YTczYzBhZmE5ZTNhYWEifQ=="/>
  </w:docVars>
  <w:rsids>
    <w:rsidRoot w:val="5C8D2F30"/>
    <w:rsid w:val="000B108E"/>
    <w:rsid w:val="000C1377"/>
    <w:rsid w:val="00110466"/>
    <w:rsid w:val="0025300C"/>
    <w:rsid w:val="00354F6C"/>
    <w:rsid w:val="003E32A7"/>
    <w:rsid w:val="004D7FB6"/>
    <w:rsid w:val="004F0940"/>
    <w:rsid w:val="00576A06"/>
    <w:rsid w:val="006C3966"/>
    <w:rsid w:val="00712658"/>
    <w:rsid w:val="008F793D"/>
    <w:rsid w:val="009A7605"/>
    <w:rsid w:val="00A77933"/>
    <w:rsid w:val="00C41C41"/>
    <w:rsid w:val="00C82B93"/>
    <w:rsid w:val="00D51F88"/>
    <w:rsid w:val="00E65C8D"/>
    <w:rsid w:val="031215E3"/>
    <w:rsid w:val="0422651B"/>
    <w:rsid w:val="04EB43EE"/>
    <w:rsid w:val="06E11AE9"/>
    <w:rsid w:val="08B84ACC"/>
    <w:rsid w:val="092E1232"/>
    <w:rsid w:val="1054157E"/>
    <w:rsid w:val="113B273E"/>
    <w:rsid w:val="11C5058A"/>
    <w:rsid w:val="13293D5D"/>
    <w:rsid w:val="134F1DF4"/>
    <w:rsid w:val="146B522F"/>
    <w:rsid w:val="15125AA4"/>
    <w:rsid w:val="151B0C27"/>
    <w:rsid w:val="1CAB4C1C"/>
    <w:rsid w:val="1D01483C"/>
    <w:rsid w:val="20933A75"/>
    <w:rsid w:val="22295F5E"/>
    <w:rsid w:val="23775858"/>
    <w:rsid w:val="24172BBE"/>
    <w:rsid w:val="26D7485F"/>
    <w:rsid w:val="2F2A716A"/>
    <w:rsid w:val="2F45683C"/>
    <w:rsid w:val="2FBC45F2"/>
    <w:rsid w:val="322D1FA6"/>
    <w:rsid w:val="32494AAB"/>
    <w:rsid w:val="34CA5DCF"/>
    <w:rsid w:val="37AB0CED"/>
    <w:rsid w:val="388F3D5F"/>
    <w:rsid w:val="38C85863"/>
    <w:rsid w:val="39B8649A"/>
    <w:rsid w:val="3AD73E74"/>
    <w:rsid w:val="3B862684"/>
    <w:rsid w:val="3BD36262"/>
    <w:rsid w:val="3CA83053"/>
    <w:rsid w:val="3E295C72"/>
    <w:rsid w:val="3FB40EFF"/>
    <w:rsid w:val="42507F9E"/>
    <w:rsid w:val="437C035F"/>
    <w:rsid w:val="4449497C"/>
    <w:rsid w:val="444C6B29"/>
    <w:rsid w:val="44972098"/>
    <w:rsid w:val="45F60406"/>
    <w:rsid w:val="47265A19"/>
    <w:rsid w:val="490E3CB9"/>
    <w:rsid w:val="4A3239D7"/>
    <w:rsid w:val="4B7C7A78"/>
    <w:rsid w:val="4F235340"/>
    <w:rsid w:val="50055E16"/>
    <w:rsid w:val="522B77E3"/>
    <w:rsid w:val="52E06644"/>
    <w:rsid w:val="53DA425F"/>
    <w:rsid w:val="55717AA9"/>
    <w:rsid w:val="55C67DF5"/>
    <w:rsid w:val="57BC0780"/>
    <w:rsid w:val="5C640839"/>
    <w:rsid w:val="5C8C476D"/>
    <w:rsid w:val="5C8D2F30"/>
    <w:rsid w:val="5D755C5D"/>
    <w:rsid w:val="60E62DEB"/>
    <w:rsid w:val="61271964"/>
    <w:rsid w:val="61EF2482"/>
    <w:rsid w:val="6483751D"/>
    <w:rsid w:val="65592C7D"/>
    <w:rsid w:val="6F99682E"/>
    <w:rsid w:val="703025E3"/>
    <w:rsid w:val="71ED53C5"/>
    <w:rsid w:val="723C415D"/>
    <w:rsid w:val="73EB6821"/>
    <w:rsid w:val="74936C9D"/>
    <w:rsid w:val="75952EE8"/>
    <w:rsid w:val="760659D2"/>
    <w:rsid w:val="784F3822"/>
    <w:rsid w:val="78C86C1E"/>
    <w:rsid w:val="7CF3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1236</Words>
  <Characters>1298</Characters>
  <Lines>9</Lines>
  <Paragraphs>2</Paragraphs>
  <TotalTime>9</TotalTime>
  <ScaleCrop>false</ScaleCrop>
  <LinksUpToDate>false</LinksUpToDate>
  <CharactersWithSpaces>1300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2025-03-10T05:37:00Z</dcterms:created>
  <dc:creator>Think</dc:creator>
  <cp:lastModifiedBy>燕子</cp:lastModifiedBy>
  <cp:lastPrinted>2025-03-10T10:53:43Z</cp:lastPrinted>
  <dcterms:modified xsi:type="dcterms:W3CDTF">2025-03-10T11:01:52Z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A66259B724684A5F80F226E1E5E8E79F</vt:lpwstr>
  </property>
  <property fmtid="{D5CDD505-2E9C-101B-9397-08002B2CF9AE}" pid="4" name="KSOTemplateDocerSaveRecord">
    <vt:lpwstr>eyJoZGlkIjoiNGRlNTgyYmFjODdiNTI5OGJlNzc2OWJiMGY0MzBmY2UiLCJ1c2VySWQiOiI0MjM0ODg0MjMifQ==</vt:lpwstr>
  </property>
</Properties>
</file>